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EF23" w14:textId="77777777" w:rsidR="00B16BAC" w:rsidRPr="00B16BAC" w:rsidRDefault="00B16BAC" w:rsidP="00B16BAC">
      <w:pPr>
        <w:jc w:val="center"/>
        <w:rPr>
          <w:rFonts w:ascii="Avenir" w:hAnsi="Avenir"/>
          <w:color w:val="1F3864" w:themeColor="accent1" w:themeShade="80"/>
          <w:sz w:val="36"/>
          <w:szCs w:val="36"/>
        </w:rPr>
      </w:pPr>
      <w:r w:rsidRPr="00B16BAC">
        <w:rPr>
          <w:rFonts w:ascii="Calibri" w:hAnsi="Calibri" w:cs="Calibri"/>
          <w:sz w:val="36"/>
          <w:szCs w:val="36"/>
        </w:rPr>
        <w:t>﻿</w:t>
      </w:r>
      <w:r w:rsidRPr="00B16BAC">
        <w:rPr>
          <w:rFonts w:ascii="Avenir" w:hAnsi="Avenir"/>
          <w:color w:val="1F3864" w:themeColor="accent1" w:themeShade="80"/>
          <w:sz w:val="36"/>
          <w:szCs w:val="36"/>
        </w:rPr>
        <w:t>Il condizionamento dei modelli stilistici nella scrittura</w:t>
      </w:r>
    </w:p>
    <w:p w14:paraId="3D24EEC7" w14:textId="77777777" w:rsidR="00B16BAC" w:rsidRPr="00B16BAC" w:rsidRDefault="00B16BAC" w:rsidP="00B16BAC">
      <w:pPr>
        <w:jc w:val="center"/>
        <w:rPr>
          <w:rFonts w:ascii="Avenir" w:hAnsi="Avenir"/>
          <w:sz w:val="28"/>
          <w:szCs w:val="28"/>
        </w:rPr>
      </w:pPr>
      <w:r w:rsidRPr="00B16BAC">
        <w:rPr>
          <w:rFonts w:ascii="Avenir" w:hAnsi="Avenir"/>
          <w:sz w:val="28"/>
          <w:szCs w:val="28"/>
        </w:rPr>
        <w:t>C. Di Carlo</w:t>
      </w:r>
    </w:p>
    <w:p w14:paraId="4CE912B2" w14:textId="77777777" w:rsidR="00B16BAC" w:rsidRPr="00B16BAC" w:rsidRDefault="00B16BAC" w:rsidP="00B16BAC">
      <w:pPr>
        <w:jc w:val="center"/>
        <w:rPr>
          <w:rFonts w:ascii="Avenir" w:hAnsi="Avenir"/>
          <w:sz w:val="36"/>
          <w:szCs w:val="36"/>
        </w:rPr>
      </w:pPr>
    </w:p>
    <w:p w14:paraId="247F1EAB" w14:textId="77777777" w:rsidR="00B16BAC" w:rsidRPr="00B16BAC" w:rsidRDefault="00B16BAC" w:rsidP="00B16BAC">
      <w:pPr>
        <w:jc w:val="center"/>
        <w:rPr>
          <w:rFonts w:ascii="Avenir" w:hAnsi="Avenir"/>
          <w:color w:val="1F3864" w:themeColor="accent1" w:themeShade="80"/>
          <w:sz w:val="36"/>
          <w:szCs w:val="36"/>
        </w:rPr>
      </w:pPr>
      <w:r w:rsidRPr="00B16BAC">
        <w:rPr>
          <w:rFonts w:ascii="Avenir" w:hAnsi="Avenir"/>
          <w:color w:val="1F3864" w:themeColor="accent1" w:themeShade="80"/>
          <w:sz w:val="36"/>
          <w:szCs w:val="36"/>
        </w:rPr>
        <w:t xml:space="preserve">Sarah Scazzi e Michele </w:t>
      </w:r>
      <w:proofErr w:type="spellStart"/>
      <w:r w:rsidRPr="00B16BAC">
        <w:rPr>
          <w:rFonts w:ascii="Avenir" w:hAnsi="Avenir"/>
          <w:color w:val="1F3864" w:themeColor="accent1" w:themeShade="80"/>
          <w:sz w:val="36"/>
          <w:szCs w:val="36"/>
        </w:rPr>
        <w:t>Misseri</w:t>
      </w:r>
      <w:proofErr w:type="spellEnd"/>
    </w:p>
    <w:p w14:paraId="3BC83E18" w14:textId="77777777" w:rsidR="00B16BAC" w:rsidRPr="00B16BAC" w:rsidRDefault="00B16BAC" w:rsidP="00B16BAC">
      <w:pPr>
        <w:jc w:val="center"/>
        <w:rPr>
          <w:rFonts w:ascii="Avenir" w:hAnsi="Avenir"/>
          <w:sz w:val="28"/>
          <w:szCs w:val="28"/>
        </w:rPr>
      </w:pPr>
      <w:r w:rsidRPr="00B16BAC">
        <w:rPr>
          <w:rFonts w:ascii="Avenir" w:hAnsi="Avenir"/>
          <w:sz w:val="28"/>
          <w:szCs w:val="28"/>
        </w:rPr>
        <w:t xml:space="preserve">P. </w:t>
      </w:r>
      <w:proofErr w:type="spellStart"/>
      <w:r w:rsidRPr="00B16BAC">
        <w:rPr>
          <w:rFonts w:ascii="Avenir" w:hAnsi="Avenir"/>
          <w:sz w:val="28"/>
          <w:szCs w:val="28"/>
        </w:rPr>
        <w:t>Arbarello</w:t>
      </w:r>
      <w:proofErr w:type="spellEnd"/>
      <w:r w:rsidRPr="00B16BAC">
        <w:rPr>
          <w:rFonts w:ascii="Avenir" w:hAnsi="Avenir"/>
          <w:sz w:val="28"/>
          <w:szCs w:val="28"/>
        </w:rPr>
        <w:t>, V. Tarantino</w:t>
      </w:r>
    </w:p>
    <w:p w14:paraId="0C02EC7F" w14:textId="77777777" w:rsidR="00B16BAC" w:rsidRPr="00B16BAC" w:rsidRDefault="00B16BAC" w:rsidP="00B16BAC">
      <w:pPr>
        <w:jc w:val="center"/>
        <w:rPr>
          <w:rFonts w:ascii="Avenir" w:hAnsi="Avenir"/>
          <w:sz w:val="36"/>
          <w:szCs w:val="36"/>
        </w:rPr>
      </w:pPr>
    </w:p>
    <w:p w14:paraId="67378C71" w14:textId="77777777" w:rsidR="00B16BAC" w:rsidRPr="00B16BAC" w:rsidRDefault="00B16BAC" w:rsidP="00B16BAC">
      <w:pPr>
        <w:jc w:val="center"/>
        <w:rPr>
          <w:rFonts w:ascii="Avenir" w:hAnsi="Avenir"/>
          <w:color w:val="1F3864" w:themeColor="accent1" w:themeShade="80"/>
          <w:sz w:val="36"/>
          <w:szCs w:val="36"/>
        </w:rPr>
      </w:pPr>
      <w:proofErr w:type="spellStart"/>
      <w:r w:rsidRPr="00B16BAC">
        <w:rPr>
          <w:rFonts w:ascii="Avenir" w:hAnsi="Avenir"/>
          <w:color w:val="1F3864" w:themeColor="accent1" w:themeShade="80"/>
          <w:sz w:val="36"/>
          <w:szCs w:val="36"/>
        </w:rPr>
        <w:t>Figlicidio</w:t>
      </w:r>
      <w:proofErr w:type="spellEnd"/>
      <w:r w:rsidRPr="00B16BAC">
        <w:rPr>
          <w:rFonts w:ascii="Avenir" w:hAnsi="Avenir"/>
          <w:color w:val="1F3864" w:themeColor="accent1" w:themeShade="80"/>
          <w:sz w:val="36"/>
          <w:szCs w:val="36"/>
        </w:rPr>
        <w:t>: Q.I. 40 e scrittura</w:t>
      </w:r>
    </w:p>
    <w:p w14:paraId="5913AFC1" w14:textId="77777777" w:rsidR="00B16BAC" w:rsidRPr="00B16BAC" w:rsidRDefault="00B16BAC" w:rsidP="00B16BAC">
      <w:pPr>
        <w:jc w:val="center"/>
        <w:rPr>
          <w:rFonts w:ascii="Avenir" w:hAnsi="Avenir"/>
          <w:sz w:val="28"/>
          <w:szCs w:val="28"/>
        </w:rPr>
      </w:pPr>
      <w:r w:rsidRPr="00B16BAC">
        <w:rPr>
          <w:rFonts w:ascii="Avenir" w:hAnsi="Avenir"/>
          <w:sz w:val="28"/>
          <w:szCs w:val="28"/>
        </w:rPr>
        <w:t>E. Marchetti, G. Saladini</w:t>
      </w:r>
    </w:p>
    <w:p w14:paraId="634A5DBF" w14:textId="77777777" w:rsidR="00B16BAC" w:rsidRPr="00B16BAC" w:rsidRDefault="00B16BAC" w:rsidP="00B16BAC">
      <w:pPr>
        <w:jc w:val="center"/>
        <w:rPr>
          <w:rFonts w:ascii="Avenir" w:hAnsi="Avenir"/>
          <w:sz w:val="36"/>
          <w:szCs w:val="36"/>
        </w:rPr>
      </w:pPr>
    </w:p>
    <w:p w14:paraId="36FB5209" w14:textId="77777777" w:rsidR="00B16BAC" w:rsidRPr="00B16BAC" w:rsidRDefault="00B16BAC" w:rsidP="00B16BAC">
      <w:pPr>
        <w:jc w:val="center"/>
        <w:rPr>
          <w:rFonts w:ascii="Avenir" w:hAnsi="Avenir"/>
          <w:color w:val="1F3864" w:themeColor="accent1" w:themeShade="80"/>
          <w:sz w:val="36"/>
          <w:szCs w:val="36"/>
        </w:rPr>
      </w:pPr>
      <w:r w:rsidRPr="00B16BAC">
        <w:rPr>
          <w:rFonts w:ascii="Avenir" w:hAnsi="Avenir"/>
          <w:color w:val="1F3864" w:themeColor="accent1" w:themeShade="80"/>
          <w:sz w:val="36"/>
          <w:szCs w:val="36"/>
        </w:rPr>
        <w:t>Lo smemorato di Collegno</w:t>
      </w:r>
    </w:p>
    <w:p w14:paraId="62870174" w14:textId="77777777" w:rsidR="00B16BAC" w:rsidRPr="00B16BAC" w:rsidRDefault="00B16BAC" w:rsidP="00B16BAC">
      <w:pPr>
        <w:jc w:val="center"/>
        <w:rPr>
          <w:rFonts w:ascii="Avenir" w:hAnsi="Avenir"/>
          <w:color w:val="1F3864" w:themeColor="accent1" w:themeShade="80"/>
          <w:sz w:val="36"/>
          <w:szCs w:val="36"/>
        </w:rPr>
      </w:pPr>
      <w:r w:rsidRPr="00B16BAC">
        <w:rPr>
          <w:rFonts w:ascii="Avenir" w:hAnsi="Avenir"/>
          <w:color w:val="1F3864" w:themeColor="accent1" w:themeShade="80"/>
          <w:sz w:val="36"/>
          <w:szCs w:val="36"/>
        </w:rPr>
        <w:t xml:space="preserve">Il caso Canella - </w:t>
      </w:r>
      <w:proofErr w:type="spellStart"/>
      <w:r w:rsidRPr="00B16BAC">
        <w:rPr>
          <w:rFonts w:ascii="Avenir" w:hAnsi="Avenir"/>
          <w:color w:val="1F3864" w:themeColor="accent1" w:themeShade="80"/>
          <w:sz w:val="36"/>
          <w:szCs w:val="36"/>
        </w:rPr>
        <w:t>Bruneri</w:t>
      </w:r>
      <w:proofErr w:type="spellEnd"/>
    </w:p>
    <w:p w14:paraId="704FA557" w14:textId="77777777" w:rsidR="00B16BAC" w:rsidRPr="00B16BAC" w:rsidRDefault="00B16BAC" w:rsidP="00B16BAC">
      <w:pPr>
        <w:jc w:val="center"/>
        <w:rPr>
          <w:rFonts w:ascii="Avenir" w:hAnsi="Avenir"/>
          <w:sz w:val="28"/>
          <w:szCs w:val="28"/>
        </w:rPr>
      </w:pPr>
      <w:r w:rsidRPr="00B16BAC">
        <w:rPr>
          <w:rFonts w:ascii="Avenir" w:hAnsi="Avenir"/>
          <w:sz w:val="28"/>
          <w:szCs w:val="28"/>
        </w:rPr>
        <w:t>M. Baldi, V. Tarantino</w:t>
      </w:r>
    </w:p>
    <w:p w14:paraId="3A86F184" w14:textId="77777777" w:rsidR="00B16BAC" w:rsidRPr="00B16BAC" w:rsidRDefault="00B16BAC" w:rsidP="00B16BAC">
      <w:pPr>
        <w:jc w:val="center"/>
        <w:rPr>
          <w:rFonts w:ascii="Avenir" w:hAnsi="Avenir"/>
          <w:sz w:val="36"/>
          <w:szCs w:val="36"/>
        </w:rPr>
      </w:pPr>
    </w:p>
    <w:p w14:paraId="65EC38FB" w14:textId="77777777" w:rsidR="00B16BAC" w:rsidRPr="00B16BAC" w:rsidRDefault="00B16BAC" w:rsidP="00B16BAC">
      <w:pPr>
        <w:jc w:val="center"/>
        <w:rPr>
          <w:rFonts w:ascii="Avenir" w:hAnsi="Avenir"/>
          <w:color w:val="1F3864" w:themeColor="accent1" w:themeShade="80"/>
          <w:sz w:val="36"/>
          <w:szCs w:val="36"/>
        </w:rPr>
      </w:pPr>
      <w:r w:rsidRPr="00B16BAC">
        <w:rPr>
          <w:rFonts w:ascii="Avenir" w:hAnsi="Avenir"/>
          <w:color w:val="1F3864" w:themeColor="accent1" w:themeShade="80"/>
          <w:sz w:val="36"/>
          <w:szCs w:val="36"/>
        </w:rPr>
        <w:t>Le applicazioni della grafologia nei delitti</w:t>
      </w:r>
    </w:p>
    <w:p w14:paraId="3252E1D5" w14:textId="77777777" w:rsidR="00B16BAC" w:rsidRPr="00B16BAC" w:rsidRDefault="00B16BAC" w:rsidP="00B16BAC">
      <w:pPr>
        <w:jc w:val="center"/>
        <w:rPr>
          <w:rFonts w:ascii="Avenir" w:hAnsi="Avenir"/>
          <w:color w:val="1F3864" w:themeColor="accent1" w:themeShade="80"/>
          <w:sz w:val="36"/>
          <w:szCs w:val="36"/>
        </w:rPr>
      </w:pPr>
      <w:r w:rsidRPr="00B16BAC">
        <w:rPr>
          <w:rFonts w:ascii="Avenir" w:hAnsi="Avenir"/>
          <w:color w:val="1F3864" w:themeColor="accent1" w:themeShade="80"/>
          <w:sz w:val="36"/>
          <w:szCs w:val="36"/>
        </w:rPr>
        <w:t>del “mostro di Firenze”</w:t>
      </w:r>
    </w:p>
    <w:p w14:paraId="30AE6A64" w14:textId="77777777" w:rsidR="00B16BAC" w:rsidRPr="00B16BAC" w:rsidRDefault="00B16BAC" w:rsidP="00B16BAC">
      <w:pPr>
        <w:jc w:val="center"/>
        <w:rPr>
          <w:rFonts w:ascii="Avenir" w:hAnsi="Avenir"/>
          <w:sz w:val="28"/>
          <w:szCs w:val="28"/>
        </w:rPr>
      </w:pPr>
      <w:r w:rsidRPr="00B16BAC">
        <w:rPr>
          <w:rFonts w:ascii="Avenir" w:hAnsi="Avenir"/>
          <w:sz w:val="28"/>
          <w:szCs w:val="28"/>
        </w:rPr>
        <w:t>E. Di Carlo</w:t>
      </w:r>
    </w:p>
    <w:p w14:paraId="2E345925" w14:textId="77777777" w:rsidR="00B16BAC" w:rsidRPr="00B16BAC" w:rsidRDefault="00B16BAC" w:rsidP="00B16BAC">
      <w:pPr>
        <w:jc w:val="center"/>
        <w:rPr>
          <w:rFonts w:ascii="Avenir" w:hAnsi="Avenir"/>
          <w:sz w:val="36"/>
          <w:szCs w:val="36"/>
        </w:rPr>
      </w:pPr>
    </w:p>
    <w:p w14:paraId="294C999D" w14:textId="77777777" w:rsidR="00B16BAC" w:rsidRPr="00B16BAC" w:rsidRDefault="00B16BAC" w:rsidP="00B16BAC">
      <w:pPr>
        <w:jc w:val="center"/>
        <w:rPr>
          <w:rFonts w:ascii="Avenir" w:hAnsi="Avenir"/>
          <w:color w:val="1F3864" w:themeColor="accent1" w:themeShade="80"/>
          <w:sz w:val="36"/>
          <w:szCs w:val="36"/>
        </w:rPr>
      </w:pPr>
      <w:r w:rsidRPr="00B16BAC">
        <w:rPr>
          <w:rFonts w:ascii="Avenir" w:hAnsi="Avenir"/>
          <w:color w:val="1F3864" w:themeColor="accent1" w:themeShade="80"/>
          <w:sz w:val="36"/>
          <w:szCs w:val="36"/>
        </w:rPr>
        <w:t>Dalla mistica alla mastica:</w:t>
      </w:r>
    </w:p>
    <w:p w14:paraId="7AADE636" w14:textId="77777777" w:rsidR="00B16BAC" w:rsidRPr="00B16BAC" w:rsidRDefault="00B16BAC" w:rsidP="00B16BAC">
      <w:pPr>
        <w:jc w:val="center"/>
        <w:rPr>
          <w:rFonts w:ascii="Avenir" w:hAnsi="Avenir"/>
          <w:color w:val="1F3864" w:themeColor="accent1" w:themeShade="80"/>
          <w:sz w:val="36"/>
          <w:szCs w:val="36"/>
        </w:rPr>
      </w:pPr>
      <w:r w:rsidRPr="00B16BAC">
        <w:rPr>
          <w:rFonts w:ascii="Avenir" w:hAnsi="Avenir"/>
          <w:color w:val="1F3864" w:themeColor="accent1" w:themeShade="80"/>
          <w:sz w:val="36"/>
          <w:szCs w:val="36"/>
        </w:rPr>
        <w:t xml:space="preserve">in memoria di Franco </w:t>
      </w:r>
      <w:proofErr w:type="spellStart"/>
      <w:r w:rsidRPr="00B16BAC">
        <w:rPr>
          <w:rFonts w:ascii="Avenir" w:hAnsi="Avenir"/>
          <w:color w:val="1F3864" w:themeColor="accent1" w:themeShade="80"/>
          <w:sz w:val="36"/>
          <w:szCs w:val="36"/>
        </w:rPr>
        <w:t>Torbidoni</w:t>
      </w:r>
      <w:proofErr w:type="spellEnd"/>
    </w:p>
    <w:p w14:paraId="7C659F13" w14:textId="77777777" w:rsidR="00B16BAC" w:rsidRPr="00B16BAC" w:rsidRDefault="00B16BAC" w:rsidP="00B16BAC">
      <w:pPr>
        <w:jc w:val="center"/>
        <w:rPr>
          <w:rFonts w:ascii="Avenir" w:hAnsi="Avenir"/>
          <w:sz w:val="28"/>
          <w:szCs w:val="28"/>
        </w:rPr>
      </w:pPr>
      <w:r w:rsidRPr="00B16BAC">
        <w:rPr>
          <w:rFonts w:ascii="Avenir" w:hAnsi="Avenir"/>
          <w:sz w:val="28"/>
          <w:szCs w:val="28"/>
        </w:rPr>
        <w:t>A. Padova</w:t>
      </w:r>
    </w:p>
    <w:p w14:paraId="619486AC" w14:textId="77777777" w:rsidR="00B16BAC" w:rsidRPr="00B16BAC" w:rsidRDefault="00B16BAC" w:rsidP="00B16BAC">
      <w:pPr>
        <w:jc w:val="center"/>
        <w:rPr>
          <w:rFonts w:ascii="Avenir" w:hAnsi="Avenir"/>
          <w:sz w:val="36"/>
          <w:szCs w:val="36"/>
        </w:rPr>
      </w:pPr>
    </w:p>
    <w:p w14:paraId="6BBB7989" w14:textId="19FF6E8C" w:rsidR="001762F9" w:rsidRPr="00B16BAC" w:rsidRDefault="00B16BAC" w:rsidP="00B16BAC">
      <w:pPr>
        <w:jc w:val="center"/>
        <w:rPr>
          <w:rFonts w:ascii="Avenir" w:hAnsi="Avenir"/>
          <w:sz w:val="28"/>
          <w:szCs w:val="28"/>
        </w:rPr>
      </w:pPr>
      <w:r w:rsidRPr="00B16BAC">
        <w:rPr>
          <w:rFonts w:ascii="Avenir" w:hAnsi="Avenir"/>
          <w:sz w:val="28"/>
          <w:szCs w:val="28"/>
        </w:rPr>
        <w:t>RECENSIONI</w:t>
      </w:r>
    </w:p>
    <w:sectPr w:rsidR="001762F9" w:rsidRPr="00B16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AC"/>
    <w:rsid w:val="001762F9"/>
    <w:rsid w:val="00B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EB6E77"/>
  <w15:chartTrackingRefBased/>
  <w15:docId w15:val="{8417F090-1ACE-B146-95F8-A1FBAF79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2024-06-13T17:10:00Z</dcterms:created>
  <dcterms:modified xsi:type="dcterms:W3CDTF">2024-06-13T17:13:00Z</dcterms:modified>
</cp:coreProperties>
</file>